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34DC">
        <w:rPr>
          <w:rFonts w:ascii="Times New Roman" w:hAnsi="Times New Roman" w:cs="Times New Roman"/>
          <w:sz w:val="24"/>
          <w:szCs w:val="24"/>
        </w:rPr>
        <w:t>S.n</w:t>
      </w:r>
      <w:proofErr w:type="spellEnd"/>
      <w:r w:rsidRPr="007D34DC">
        <w:rPr>
          <w:rFonts w:ascii="Times New Roman" w:hAnsi="Times New Roman" w:cs="Times New Roman"/>
          <w:sz w:val="24"/>
          <w:szCs w:val="24"/>
        </w:rPr>
        <w:t>.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Termodynamika w.7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34DC">
        <w:rPr>
          <w:rFonts w:ascii="Times New Roman" w:hAnsi="Times New Roman" w:cs="Times New Roman"/>
          <w:b/>
          <w:bCs/>
          <w:sz w:val="24"/>
          <w:szCs w:val="24"/>
        </w:rPr>
        <w:t>Własności substancji rzeczywistych . Para wodna ( H</w:t>
      </w:r>
      <w:r w:rsidRPr="007D34DC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7D34DC">
        <w:rPr>
          <w:rFonts w:ascii="Times New Roman" w:hAnsi="Times New Roman" w:cs="Times New Roman"/>
          <w:b/>
          <w:bCs/>
          <w:sz w:val="24"/>
          <w:szCs w:val="24"/>
        </w:rPr>
        <w:t>O)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Podstawowym wykresem, który powinie</w:t>
      </w:r>
      <w:r w:rsidR="002F538C">
        <w:rPr>
          <w:rFonts w:ascii="Times New Roman" w:hAnsi="Times New Roman" w:cs="Times New Roman"/>
          <w:sz w:val="24"/>
          <w:szCs w:val="24"/>
        </w:rPr>
        <w:t>n zostać przytoczony na wstępie</w:t>
      </w:r>
      <w:r w:rsidRPr="007D34DC">
        <w:rPr>
          <w:rFonts w:ascii="Times New Roman" w:hAnsi="Times New Roman" w:cs="Times New Roman"/>
          <w:sz w:val="24"/>
          <w:szCs w:val="24"/>
        </w:rPr>
        <w:t>, jest wykres p-T dla wody,rys.1</w:t>
      </w:r>
    </w:p>
    <w:p w:rsidR="007D34DC" w:rsidRPr="007D34DC" w:rsidRDefault="007D34D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D34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DA95859" wp14:editId="34AF0C73">
            <wp:extent cx="2266950" cy="18954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DC" w:rsidRPr="007D34DC" w:rsidRDefault="007D34D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Rys.1[1]</w:t>
      </w:r>
    </w:p>
    <w:p w:rsidR="007D34DC" w:rsidRPr="007D34DC" w:rsidRDefault="007D34D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222222"/>
          <w:sz w:val="24"/>
          <w:szCs w:val="24"/>
          <w:highlight w:val="white"/>
        </w:rPr>
      </w:pPr>
      <w:r w:rsidRPr="007D34DC">
        <w:rPr>
          <w:rFonts w:ascii="Times New Roman" w:hAnsi="Times New Roman" w:cs="Times New Roman"/>
          <w:sz w:val="24"/>
          <w:szCs w:val="24"/>
        </w:rPr>
        <w:t>„D</w:t>
      </w:r>
      <w:r w:rsidRPr="007D34DC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>iagram fazowy dla wody w zakresie niskich ciśnień: kolor ciemno niebieski – woda w stanie ciekłym, jasno niebieski – para wodna, biały – lód, punkt potrójny – żółty, punkt krytyczny – czerwony. Linia zielona odpowiada prężności pary nad wodą przechłodzoną” [1]</w:t>
      </w:r>
    </w:p>
    <w:p w:rsidR="007D34DC" w:rsidRPr="007D34DC" w:rsidRDefault="007D34D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222222"/>
          <w:sz w:val="24"/>
          <w:szCs w:val="24"/>
          <w:highlight w:val="white"/>
        </w:rPr>
      </w:pP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222222"/>
          <w:sz w:val="24"/>
          <w:szCs w:val="24"/>
          <w:highlight w:val="white"/>
        </w:rPr>
      </w:pPr>
      <w:r w:rsidRPr="007D34DC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 xml:space="preserve">Linia nasycenia dla wody, to linia na wykresie p-T łącząca punkt potrójny z punktem krytycznym, rozdzielająca fazę wody od fazy gazowej. 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highlight w:val="white"/>
        </w:rPr>
      </w:pPr>
      <w:r w:rsidRPr="007D34DC">
        <w:rPr>
          <w:rFonts w:ascii="Times New Roman" w:hAnsi="Times New Roman" w:cs="Times New Roman"/>
          <w:b/>
          <w:bCs/>
          <w:color w:val="222222"/>
          <w:sz w:val="24"/>
          <w:szCs w:val="24"/>
          <w:highlight w:val="white"/>
        </w:rPr>
        <w:t>Parametry punktu potrójnego to: ciśnienie 611,2 Pa oraz temperatura 273,16K (0,0098</w:t>
      </w:r>
      <w:r w:rsidRPr="007D34DC">
        <w:rPr>
          <w:rFonts w:ascii="Times New Roman" w:hAnsi="Times New Roman" w:cs="Times New Roman"/>
          <w:b/>
          <w:bCs/>
          <w:color w:val="222222"/>
          <w:sz w:val="24"/>
          <w:szCs w:val="24"/>
          <w:highlight w:val="white"/>
          <w:vertAlign w:val="superscript"/>
        </w:rPr>
        <w:t>0</w:t>
      </w:r>
      <w:r w:rsidRPr="007D34DC">
        <w:rPr>
          <w:rFonts w:ascii="Times New Roman" w:hAnsi="Times New Roman" w:cs="Times New Roman"/>
          <w:b/>
          <w:bCs/>
          <w:color w:val="222222"/>
          <w:sz w:val="24"/>
          <w:szCs w:val="24"/>
          <w:highlight w:val="white"/>
        </w:rPr>
        <w:t xml:space="preserve">C) 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34DC">
        <w:rPr>
          <w:rFonts w:ascii="Times New Roman" w:hAnsi="Times New Roman" w:cs="Times New Roman"/>
          <w:b/>
          <w:bCs/>
          <w:color w:val="222222"/>
          <w:sz w:val="24"/>
          <w:szCs w:val="24"/>
          <w:highlight w:val="white"/>
        </w:rPr>
        <w:t xml:space="preserve">Parametry punktu krytycznego to: ciśnienie 22,115 </w:t>
      </w:r>
      <w:proofErr w:type="spellStart"/>
      <w:r w:rsidRPr="007D34DC">
        <w:rPr>
          <w:rFonts w:ascii="Times New Roman" w:hAnsi="Times New Roman" w:cs="Times New Roman"/>
          <w:b/>
          <w:bCs/>
          <w:color w:val="222222"/>
          <w:sz w:val="24"/>
          <w:szCs w:val="24"/>
          <w:highlight w:val="white"/>
        </w:rPr>
        <w:t>Mpa</w:t>
      </w:r>
      <w:proofErr w:type="spellEnd"/>
      <w:r w:rsidRPr="007D34DC">
        <w:rPr>
          <w:rFonts w:ascii="Times New Roman" w:hAnsi="Times New Roman" w:cs="Times New Roman"/>
          <w:b/>
          <w:bCs/>
          <w:color w:val="222222"/>
          <w:sz w:val="24"/>
          <w:szCs w:val="24"/>
          <w:highlight w:val="white"/>
        </w:rPr>
        <w:t xml:space="preserve"> oraz temperatura 647,27K (374,12</w:t>
      </w:r>
      <w:r w:rsidRPr="007D34DC">
        <w:rPr>
          <w:rFonts w:ascii="Times New Roman" w:hAnsi="Times New Roman" w:cs="Times New Roman"/>
          <w:b/>
          <w:bCs/>
          <w:color w:val="222222"/>
          <w:sz w:val="24"/>
          <w:szCs w:val="24"/>
          <w:highlight w:val="white"/>
          <w:vertAlign w:val="superscript"/>
        </w:rPr>
        <w:t>0</w:t>
      </w:r>
      <w:r w:rsidRPr="007D34DC">
        <w:rPr>
          <w:rFonts w:ascii="Times New Roman" w:hAnsi="Times New Roman" w:cs="Times New Roman"/>
          <w:b/>
          <w:bCs/>
          <w:color w:val="222222"/>
          <w:sz w:val="24"/>
          <w:szCs w:val="24"/>
          <w:highlight w:val="white"/>
        </w:rPr>
        <w:t xml:space="preserve">C). 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Na linii nasycenia, określonej przez ciśnienie nasycenia i temperaturę nasycenia, znajduje się mieszanina cieczy nasyconej i pary nasyconej w równowadze dynamicznej, czyli takiej w której dodatkowa ilość substancji wody przekształcającej się w fazę parową powoduje taką samą ilość wykroplenia się  wody do stanu ciekłego</w:t>
      </w:r>
      <w:r w:rsidR="002F538C">
        <w:rPr>
          <w:rFonts w:ascii="Times New Roman" w:hAnsi="Times New Roman" w:cs="Times New Roman"/>
          <w:sz w:val="24"/>
          <w:szCs w:val="24"/>
        </w:rPr>
        <w:t xml:space="preserve"> (para przekształca się  w wodę</w:t>
      </w:r>
      <w:r w:rsidRPr="007D34DC">
        <w:rPr>
          <w:rFonts w:ascii="Times New Roman" w:hAnsi="Times New Roman" w:cs="Times New Roman"/>
          <w:sz w:val="24"/>
          <w:szCs w:val="24"/>
        </w:rPr>
        <w:t>, woda - w parę).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 xml:space="preserve">Patrząc na kształt wykresu zauważamy, że </w:t>
      </w:r>
      <w:r w:rsidRPr="007D34DC">
        <w:rPr>
          <w:rFonts w:ascii="Times New Roman" w:hAnsi="Times New Roman" w:cs="Times New Roman"/>
          <w:b/>
          <w:bCs/>
          <w:sz w:val="24"/>
          <w:szCs w:val="24"/>
        </w:rPr>
        <w:t>jednej wartości temperatury nasycenia odpowiada dokładnie jedna wartość ciśnienia nasycenia</w:t>
      </w:r>
      <w:r w:rsidRPr="007D34DC">
        <w:rPr>
          <w:rFonts w:ascii="Times New Roman" w:hAnsi="Times New Roman" w:cs="Times New Roman"/>
          <w:sz w:val="24"/>
          <w:szCs w:val="24"/>
        </w:rPr>
        <w:t xml:space="preserve">, czyli jest to </w:t>
      </w:r>
      <w:r w:rsidRPr="007D34DC">
        <w:rPr>
          <w:rFonts w:ascii="Times New Roman" w:hAnsi="Times New Roman" w:cs="Times New Roman"/>
          <w:b/>
          <w:bCs/>
          <w:sz w:val="24"/>
          <w:szCs w:val="24"/>
        </w:rPr>
        <w:t>funkcja</w:t>
      </w:r>
      <w:r w:rsidRPr="007D34DC">
        <w:rPr>
          <w:rFonts w:ascii="Times New Roman" w:hAnsi="Times New Roman" w:cs="Times New Roman"/>
          <w:sz w:val="24"/>
          <w:szCs w:val="24"/>
        </w:rPr>
        <w:t xml:space="preserve">. Ciśnienie nasycenia jest funkcją temperatury nasycenia w układzie p-T lub temperatura nasycenia jest funkcją ciśnienia nasycenia w układzie T-p, (rys.1).   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lastRenderedPageBreak/>
        <w:t xml:space="preserve">Na rys.2 przedstawiono, co dzieje się w trakcie podgrzewania destylowanej wody w naczyniu zamkniętym ( tzw. układ zamknięty). Na samym początku temperatura wody wzrasta, aby zatrzymać się na w pewnej wysokości swojej wartości. Temperatura, która przez pewien czas jest stała, to właśnie temperatura nasycenia. W okresie stałości temperatury, woda powoli przekształca się w parę, nasyconą rys. 2. Możemy wyobrazić ją sobie w postaci pęcherzy gazowych w  których jest para nasycona sucha , zanurzonych w cieczy nasyconej albo w potem – jako parę nasyconą suchą ( gaz) z kropelkami  cieczy nasyconej. Obie fazy wody  w określonym miejscu reprezentowanym  na osi odciętych, znajdują się wzajemnie ze sobą w równowadze  dynamicznej. </w:t>
      </w:r>
    </w:p>
    <w:p w:rsidR="007D34DC" w:rsidRPr="007D34DC" w:rsidRDefault="007D34D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D34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A20B2AC" wp14:editId="43734621">
            <wp:extent cx="4057650" cy="31432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DC" w:rsidRPr="007D34DC" w:rsidRDefault="00E249E3" w:rsidP="007D34D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7B1627" wp14:editId="640DA225">
                <wp:simplePos x="0" y="0"/>
                <wp:positionH relativeFrom="column">
                  <wp:posOffset>1862455</wp:posOffset>
                </wp:positionH>
                <wp:positionV relativeFrom="paragraph">
                  <wp:posOffset>206375</wp:posOffset>
                </wp:positionV>
                <wp:extent cx="2295525" cy="0"/>
                <wp:effectExtent l="38100" t="76200" r="28575" b="114300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0"/>
                          <a:chOff x="0" y="0"/>
                          <a:chExt cx="2295525" cy="0"/>
                        </a:xfrm>
                      </wpg:grpSpPr>
                      <wps:wsp>
                        <wps:cNvPr id="7" name="Łącznik prosty ze strzałką 7"/>
                        <wps:cNvCnPr/>
                        <wps:spPr>
                          <a:xfrm>
                            <a:off x="590550" y="0"/>
                            <a:ext cx="1143000" cy="0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" name="Grupa 9"/>
                        <wpg:cNvGrpSpPr/>
                        <wpg:grpSpPr>
                          <a:xfrm>
                            <a:off x="0" y="0"/>
                            <a:ext cx="2295525" cy="0"/>
                            <a:chOff x="0" y="0"/>
                            <a:chExt cx="2295525" cy="0"/>
                          </a:xfrm>
                        </wpg:grpSpPr>
                        <wps:wsp>
                          <wps:cNvPr id="6" name="Łącznik prosty ze strzałką 6"/>
                          <wps:cNvCnPr/>
                          <wps:spPr>
                            <a:xfrm>
                              <a:off x="0" y="0"/>
                              <a:ext cx="590550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Łącznik prosty ze strzałką 8"/>
                          <wps:cNvCnPr/>
                          <wps:spPr>
                            <a:xfrm>
                              <a:off x="1733550" y="0"/>
                              <a:ext cx="561975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4CB2D99" id="Grupa 10" o:spid="_x0000_s1026" style="position:absolute;margin-left:146.65pt;margin-top:16.25pt;width:180.75pt;height:0;z-index:251661312" coordsize="229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7" o:spid="_x0000_s1027" type="#_x0000_t32" style="position:absolute;left:5905;width:114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gd0cAAAADaAAAADwAAAGRycy9kb3ducmV2LnhtbESPQYvCMBSE78L+h/AEb5rqikrXKIuw&#10;sB7VCh7fNq9NsXkpTbbWf28EweMwM98w621va9FR6yvHCqaTBARx7nTFpYLs9DNegfABWWPtmBTc&#10;ycN28zFYY6rdjQ/UHUMpIoR9igpMCE0qpc8NWfQT1xBHr3CtxRBlW0rd4i3CbS1nSbKQFiuOCwYb&#10;2hnKr8d/qyBZsp2ez9nKdmTC/vJZzO9/hVKjYf/9BSJQH97hV/tXK1jC80q8AXLz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YHdHAAAAA2gAAAA8AAAAAAAAAAAAAAAAA&#10;oQIAAGRycy9kb3ducmV2LnhtbFBLBQYAAAAABAAEAPkAAACOAwAAAAA=&#10;" strokecolor="#4579b8 [3044]">
                  <v:stroke startarrow="open" endarrow="open"/>
                </v:shape>
                <v:group id="Grupa 9" o:spid="_x0000_s1028" style="position:absolute;width:22955;height:0" coordsize="2295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Łącznik prosty ze strzałką 6" o:spid="_x0000_s1029" type="#_x0000_t32" style="position:absolute;width:59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4SsEAAADaAAAADwAAAGRycy9kb3ducmV2LnhtbESPT4vCMBTE78J+h/AWvGnqH1SqUZaF&#10;hfWoVtjj2+a1KTYvpYm1fnsjCB6HmfkNs9n1thYdtb5yrGAyTkAQ505XXCrITj+jFQgfkDXWjknB&#10;nTzsth+DDaba3fhA3TGUIkLYp6jAhNCkUvrckEU/dg1x9ArXWgxRtqXULd4i3NZymiQLabHiuGCw&#10;oW9D+eV4tQqSJdvJ+ZytbEcm7P9mxfz+Xyg1/Oy/1iAC9eEdfrV/tYIFPK/EGyC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1LhKwQAAANoAAAAPAAAAAAAAAAAAAAAA&#10;AKECAABkcnMvZG93bnJldi54bWxQSwUGAAAAAAQABAD5AAAAjwMAAAAA&#10;" strokecolor="#4579b8 [3044]">
                    <v:stroke startarrow="open" endarrow="open"/>
                  </v:shape>
                  <v:shape id="Łącznik prosty ze strzałką 8" o:spid="_x0000_s1030" type="#_x0000_t32" style="position:absolute;left:17335;width:56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eJo74AAADaAAAADwAAAGRycy9kb3ducmV2LnhtbERPy2rCQBTdF/yH4Qrd1YltUYmOUgqC&#10;LqsJdHmbuckEM3dCZprH3zsLweXhvHeH0Taip87XjhUsFwkI4sLpmisF2fX4tgHhA7LGxjEpmMjD&#10;YT972WGq3cA/1F9CJWII+xQVmBDaVEpfGLLoF64ljlzpOoshwq6SusMhhttGvifJSlqsOTYYbOnb&#10;UHG7/FsFyZrtMs+zje3JhPPvR/k5/ZVKvc7Hry2IQGN4ih/uk1YQt8Yr8QbI/R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B4mjvgAAANoAAAAPAAAAAAAAAAAAAAAAAKEC&#10;AABkcnMvZG93bnJldi54bWxQSwUGAAAAAAQABAD5AAAAjAMAAAAA&#10;" strokecolor="#4579b8 [3044]">
                    <v:stroke startarrow="open" endarrow="open"/>
                  </v:shape>
                </v:group>
              </v:group>
            </w:pict>
          </mc:Fallback>
        </mc:AlternateContent>
      </w:r>
      <w:r w:rsidR="007D34DC" w:rsidRPr="007D34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A                       B                   C</w:t>
      </w:r>
    </w:p>
    <w:p w:rsidR="007D34DC" w:rsidRPr="007D34DC" w:rsidRDefault="007D34D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Rys.2 [3]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Moment, w którym pojawiają się pierwsze pęcherze wypełnione parą nasycona , nazywamy punktem pęcherzyków, natomiast moment w którym ochładzając parę zobaczymy pierwsze krople skondensowanej cieczy nasyconej – punktem  rosy (Rys.2).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 xml:space="preserve">Ilość ciepła potrzebna do uzyskania wody  w punkcie pęcherzyków, nazywamy ciepłem </w:t>
      </w:r>
      <w:proofErr w:type="spellStart"/>
      <w:r w:rsidRPr="007D34DC">
        <w:rPr>
          <w:rFonts w:ascii="Times New Roman" w:hAnsi="Times New Roman" w:cs="Times New Roman"/>
          <w:sz w:val="24"/>
          <w:szCs w:val="24"/>
        </w:rPr>
        <w:t>zawrzenia</w:t>
      </w:r>
      <w:proofErr w:type="spellEnd"/>
      <w:r w:rsidRPr="007D34DC">
        <w:rPr>
          <w:rFonts w:ascii="Times New Roman" w:hAnsi="Times New Roman" w:cs="Times New Roman"/>
          <w:sz w:val="24"/>
          <w:szCs w:val="24"/>
        </w:rPr>
        <w:t xml:space="preserve"> A. 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 xml:space="preserve">Ciepło parowania B jest to taka ilość ciepła ( patrz rysunek), która musi zostać dostarczona do cieczy w temperaturze nasycenia aby ta, cała przemieniła się w tzw. parę nasyconą suchą ( bez „kropelki” cieczy nasyconej). Jeśli w dalszym ciągu będziemy dostarczali ciepło C, to nazwiemy </w:t>
      </w:r>
      <w:r>
        <w:rPr>
          <w:rFonts w:ascii="Times New Roman" w:hAnsi="Times New Roman" w:cs="Times New Roman"/>
          <w:sz w:val="24"/>
          <w:szCs w:val="24"/>
        </w:rPr>
        <w:lastRenderedPageBreak/>
        <w:t>je ciepłem przegrzania</w:t>
      </w:r>
      <w:r w:rsidRPr="007D34DC">
        <w:rPr>
          <w:rFonts w:ascii="Times New Roman" w:hAnsi="Times New Roman" w:cs="Times New Roman"/>
          <w:sz w:val="24"/>
          <w:szCs w:val="24"/>
        </w:rPr>
        <w:t xml:space="preserve">. Para nasycona sucha  stanie się substancją przypominającą gaz doskonały. Taką parę nazywamy parą przegrzaną( rys.2). 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Na rys.3, zobrazowane są przemiany pary wodnej   na wykresie p-v.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Wykres ten powstał przez „rozciągnięcie” linii nasycenia na płaszczyźnie p-v, w celu ukazania co dzieje się „ w środku” linii nasycenia. Przecież ilość cieczy przy „krawędzi” linii sąsiadującej z cieczą, z pewnością jest więcej, niż przy przeciwległej „krawędzi” sąsiadującej z gazem.</w:t>
      </w:r>
    </w:p>
    <w:p w:rsidR="007D34DC" w:rsidRPr="007D34DC" w:rsidRDefault="007D34D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D34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CF37970" wp14:editId="4386883E">
            <wp:extent cx="3609975" cy="22955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DC" w:rsidRPr="007D34DC" w:rsidRDefault="007D34D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Rys.3[4] Wykres p-v dla wody</w:t>
      </w:r>
    </w:p>
    <w:p w:rsidR="007D34DC" w:rsidRPr="007D34DC" w:rsidRDefault="007D34DC" w:rsidP="007D34D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 xml:space="preserve">Pierwsza rzecz godna uwagi , to niesymetryczny kształt krzywej oraz  punkt krytyczny K na „górze wykresu”. Co to jest ten punkt i dlaczego jest taki ważny. 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Z obserwacji fizycznych wynika, że wraz ze zwiększaniem się ciśnienia nasycenia wzrasta temperatura nasycenia, ale to nie wszystko. Odcinek stałości temperatury (płaski) zmniejsza się. Dla pewnych charakterystycznych parametrów ciśnienia , temperatury i wynikającej z tego na mocy prawa Clapeyrona objętości właściwej, w tak zwanych parametrach punktu K,  pojawia się w miejscu odcinka tylko punkt przegięcia. Oznacza to, że para w sposób „płynny” przechodzi z cieczy w stan gazowy (kotły nadkrytyczne). Nie obserwujemy czasu w którym temperatura „zatrzyma się w swoim wzroście” wraz z dostarczaniem ciepła. Jest to kluczowy punkt, jeśli chodzi o skraplanie gazów</w:t>
      </w:r>
      <w:r>
        <w:rPr>
          <w:rFonts w:ascii="Times New Roman" w:hAnsi="Times New Roman" w:cs="Times New Roman"/>
          <w:sz w:val="24"/>
          <w:szCs w:val="24"/>
        </w:rPr>
        <w:t>. Powyżej punktu K</w:t>
      </w:r>
      <w:r w:rsidRPr="007D34DC">
        <w:rPr>
          <w:rFonts w:ascii="Times New Roman" w:hAnsi="Times New Roman" w:cs="Times New Roman"/>
          <w:sz w:val="24"/>
          <w:szCs w:val="24"/>
        </w:rPr>
        <w:t>, nie możemy skroplić gazu, tam nie ma takiej fazy. To dlatego tlen, czy inny z gazów pospolitych  jest otrzymywany na drodze ochładzania i rozprężania – żeby „zejść” na wykresie p-v poniżej punktu K.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Od punktu K rozchodzą się linie o stałym stopniu suchości pary x. Co to jest? Jest to po prostu udział wagowy masy pary nasyconej suchej ( tej bez „kropelek” cieczy nasyconej), zawartej wyobrażeniowo w  „pęcherzach gazowych” do całości mieszaniny, czyli i pary i cieczy. Czasami mieszaninę tę nazywamy nasyconą parą mokrą.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Wykres w zakresie pary wilgotnej, ograniczony jest liniami granicznymi x=0 i x=1.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34DC">
        <w:rPr>
          <w:rFonts w:ascii="Times New Roman" w:hAnsi="Times New Roman" w:cs="Times New Roman"/>
          <w:b/>
          <w:bCs/>
          <w:sz w:val="24"/>
          <w:szCs w:val="24"/>
        </w:rPr>
        <w:lastRenderedPageBreak/>
        <w:t>Def. stopnia suchości x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x=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pary nasyconej suchej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pary nasyco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nej suchej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cieczy  nasyconej 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(1)</m:t>
          </m:r>
        </m:oMath>
      </m:oMathPara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Wspomniany stopień suchości pary, może przyjmować wartości z zakresu od 0 do 1, przy czym dla wartości tzw. granicznych: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x=1 ↔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pary nasyconej suchej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=1 oraz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cieczy nasyconej 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=0 (2)</m:t>
          </m:r>
        </m:oMath>
      </m:oMathPara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x=0 ↔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pary nasyconej suchej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=0 oraz 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 xml:space="preserve">cieczy nasyconej 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(3)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34DC">
        <w:rPr>
          <w:rFonts w:ascii="Times New Roman" w:hAnsi="Times New Roman" w:cs="Times New Roman"/>
          <w:b/>
          <w:bCs/>
          <w:sz w:val="24"/>
          <w:szCs w:val="24"/>
        </w:rPr>
        <w:t xml:space="preserve">Def. objętości właściwej o danym stopniu suchości pary x. 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1 kg pary nasyconej zawiera  w sobie  część x kg suchej pary nasyconej oraz „dopełnienie do jedności” tj. (1-x) kg cieczy nasyconej. Jeśli przyjmiemy oznaczenia, że objętość cieczy nasyconej będziemy oznaczać jako wielkość „</w:t>
      </w:r>
      <w:proofErr w:type="spellStart"/>
      <w:r w:rsidRPr="007D34DC">
        <w:rPr>
          <w:rFonts w:ascii="Times New Roman" w:hAnsi="Times New Roman" w:cs="Times New Roman"/>
          <w:sz w:val="24"/>
          <w:szCs w:val="24"/>
        </w:rPr>
        <w:t>primowaną</w:t>
      </w:r>
      <w:proofErr w:type="spellEnd"/>
      <w:r w:rsidRPr="007D34DC">
        <w:rPr>
          <w:rFonts w:ascii="Times New Roman" w:hAnsi="Times New Roman" w:cs="Times New Roman"/>
          <w:sz w:val="24"/>
          <w:szCs w:val="24"/>
        </w:rPr>
        <w:t>”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  <w:r w:rsidRPr="007D34DC">
        <w:rPr>
          <w:rFonts w:ascii="Times New Roman" w:hAnsi="Times New Roman" w:cs="Times New Roman"/>
          <w:sz w:val="24"/>
          <w:szCs w:val="24"/>
        </w:rPr>
        <w:t xml:space="preserve"> , a pozostałe parametry jako entalpię właściwą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  <w:r w:rsidRPr="007D34DC">
        <w:rPr>
          <w:rFonts w:ascii="Times New Roman" w:hAnsi="Times New Roman" w:cs="Times New Roman"/>
          <w:sz w:val="24"/>
          <w:szCs w:val="24"/>
        </w:rPr>
        <w:t xml:space="preserve"> , entropię właściwą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  <w:r w:rsidRPr="007D34DC">
        <w:rPr>
          <w:rFonts w:ascii="Times New Roman" w:hAnsi="Times New Roman" w:cs="Times New Roman"/>
          <w:sz w:val="24"/>
          <w:szCs w:val="24"/>
        </w:rPr>
        <w:t xml:space="preserve">  i tak dalej, natomiast dla pary nasyconej suchej przyjmiemy oznaczenia „bisowane” t.j. : objętość pary nasyconej suchej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p>
      </m:oMath>
      <w:r w:rsidRPr="007D34DC">
        <w:rPr>
          <w:rFonts w:ascii="Times New Roman" w:hAnsi="Times New Roman" w:cs="Times New Roman"/>
          <w:sz w:val="24"/>
          <w:szCs w:val="24"/>
        </w:rPr>
        <w:t xml:space="preserve"> , a pozostałe parametry jako entalpię właściwą pary nasyconej suchej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p>
      </m:oMath>
      <w:r w:rsidRPr="007D34DC">
        <w:rPr>
          <w:rFonts w:ascii="Times New Roman" w:hAnsi="Times New Roman" w:cs="Times New Roman"/>
          <w:sz w:val="24"/>
          <w:szCs w:val="24"/>
        </w:rPr>
        <w:t xml:space="preserve"> , entropię właściwą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p>
      </m:oMath>
      <w:r w:rsidRPr="007D34DC">
        <w:rPr>
          <w:rFonts w:ascii="Times New Roman" w:hAnsi="Times New Roman" w:cs="Times New Roman"/>
          <w:sz w:val="24"/>
          <w:szCs w:val="24"/>
        </w:rPr>
        <w:t xml:space="preserve"> i tak dalej, to:</w:t>
      </w:r>
    </w:p>
    <w:p w:rsidR="007D34DC" w:rsidRPr="007D34DC" w:rsidRDefault="006B217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=x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1-x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+x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''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p>
          </m:e>
        </m:d>
      </m:oMath>
      <w:r w:rsidR="00DC4003">
        <w:rPr>
          <w:rFonts w:ascii="Times New Roman" w:eastAsiaTheme="minorEastAsia" w:hAnsi="Times New Roman" w:cs="Times New Roman"/>
          <w:sz w:val="24"/>
          <w:szCs w:val="24"/>
        </w:rPr>
        <w:t>(4)</w:t>
      </w:r>
    </w:p>
    <w:p w:rsidR="007D34DC" w:rsidRDefault="007D34D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Oraz analogicznie :</w:t>
      </w:r>
    </w:p>
    <w:p w:rsidR="00E249E3" w:rsidRPr="00E249E3" w:rsidRDefault="006B217C" w:rsidP="007D34DC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=i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+x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 (5)</m:t>
          </m:r>
        </m:oMath>
      </m:oMathPara>
    </w:p>
    <w:p w:rsidR="00E249E3" w:rsidRPr="00E249E3" w:rsidRDefault="006B217C" w:rsidP="00E249E3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=u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+x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  (6)</m:t>
          </m:r>
        </m:oMath>
      </m:oMathPara>
    </w:p>
    <w:p w:rsidR="00E249E3" w:rsidRPr="00E249E3" w:rsidRDefault="006B217C" w:rsidP="00E249E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=s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+x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  (7)</m:t>
          </m:r>
        </m:oMath>
      </m:oMathPara>
    </w:p>
    <w:p w:rsidR="007D34DC" w:rsidRDefault="007D34D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Oraz :</w:t>
      </w:r>
    </w:p>
    <w:p w:rsidR="00E249E3" w:rsidRPr="007D34DC" w:rsidRDefault="006B217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r=i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''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  (8)</m:t>
          </m:r>
        </m:oMath>
      </m:oMathPara>
    </w:p>
    <w:p w:rsidR="007D34DC" w:rsidRPr="007D34DC" w:rsidRDefault="007D34DC" w:rsidP="007D34D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 xml:space="preserve">r- ciepło parowania wody o  największej wartości w </w:t>
      </w:r>
      <w:r w:rsidRPr="007D34DC">
        <w:rPr>
          <w:rFonts w:ascii="Times New Roman" w:hAnsi="Times New Roman" w:cs="Times New Roman"/>
          <w:b/>
          <w:bCs/>
          <w:sz w:val="24"/>
          <w:szCs w:val="24"/>
        </w:rPr>
        <w:t>punkcie potrójnym</w:t>
      </w:r>
      <w:r w:rsidRPr="007D34DC">
        <w:rPr>
          <w:rFonts w:ascii="Times New Roman" w:hAnsi="Times New Roman" w:cs="Times New Roman"/>
          <w:sz w:val="24"/>
          <w:szCs w:val="24"/>
        </w:rPr>
        <w:t xml:space="preserve"> </w:t>
      </w:r>
      <w:r w:rsidRPr="007D34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2500,8kJ/kg</w:t>
      </w:r>
      <w:r w:rsidRPr="007D34DC">
        <w:rPr>
          <w:rFonts w:ascii="Times New Roman" w:hAnsi="Times New Roman" w:cs="Times New Roman"/>
          <w:color w:val="000000"/>
          <w:sz w:val="24"/>
          <w:szCs w:val="24"/>
        </w:rPr>
        <w:t xml:space="preserve"> , i wartości „zerowej” </w:t>
      </w:r>
      <w:r w:rsidRPr="007D34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0kJ/kg w punkcie krytycznym</w:t>
      </w:r>
      <w:r w:rsidRPr="007D34DC">
        <w:rPr>
          <w:rFonts w:ascii="Times New Roman" w:hAnsi="Times New Roman" w:cs="Times New Roman"/>
          <w:color w:val="000000"/>
          <w:sz w:val="24"/>
          <w:szCs w:val="24"/>
        </w:rPr>
        <w:t xml:space="preserve"> [2].</w:t>
      </w:r>
    </w:p>
    <w:p w:rsidR="007D34DC" w:rsidRDefault="007D34DC" w:rsidP="007D34D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7D34DC">
        <w:rPr>
          <w:rFonts w:ascii="Times New Roman" w:hAnsi="Times New Roman" w:cs="Times New Roman"/>
          <w:color w:val="000000"/>
          <w:sz w:val="24"/>
          <w:szCs w:val="24"/>
        </w:rPr>
        <w:t>Poniżej przytaczam część tablic [2], w których można sprawdzić wartości niektórych parametrów dla cieczy nasyconej i pary nasyconej suchej, dla wody.</w:t>
      </w:r>
    </w:p>
    <w:p w:rsidR="00E249E3" w:rsidRPr="007D34DC" w:rsidRDefault="00E249E3" w:rsidP="007D34D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2F538C" w:rsidRDefault="007D34DC" w:rsidP="007D34DC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D34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F538C" w:rsidRDefault="002F538C" w:rsidP="007D34DC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D34DC" w:rsidRPr="007D34DC" w:rsidRDefault="004918BC" w:rsidP="007D34DC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Tab. 1  </w:t>
      </w:r>
      <w:r w:rsidR="007D34DC" w:rsidRPr="007D34DC">
        <w:rPr>
          <w:rFonts w:ascii="Times New Roman" w:hAnsi="Times New Roman" w:cs="Times New Roman"/>
          <w:color w:val="000000"/>
          <w:sz w:val="24"/>
          <w:szCs w:val="24"/>
        </w:rPr>
        <w:t>Parametry fizyczne pary wodnej nasyconej i wody (według temperatury)</w:t>
      </w:r>
      <w:r w:rsidR="002F538C">
        <w:rPr>
          <w:rFonts w:ascii="Times New Roman" w:hAnsi="Times New Roman" w:cs="Times New Roman"/>
          <w:color w:val="000000"/>
          <w:sz w:val="24"/>
          <w:szCs w:val="24"/>
        </w:rPr>
        <w:t xml:space="preserve"> – czasami określa się je jako „parametry wody na liniach granicznych stopnia suchości”, mając na uwadze stopnie suchości x=0 oraz x=1 </w:t>
      </w:r>
      <w:r w:rsidR="007D34DC" w:rsidRPr="007D34D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34DC" w:rsidRPr="007D34DC" w:rsidRDefault="007D34DC" w:rsidP="007D34DC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3"/>
        <w:gridCol w:w="936"/>
        <w:gridCol w:w="1348"/>
        <w:gridCol w:w="1012"/>
        <w:gridCol w:w="1252"/>
        <w:gridCol w:w="779"/>
        <w:gridCol w:w="766"/>
        <w:gridCol w:w="1674"/>
      </w:tblGrid>
      <w:tr w:rsidR="007D34DC" w:rsidRPr="007D34DC" w:rsidTr="0048457E">
        <w:trPr>
          <w:trHeight w:val="1"/>
          <w:jc w:val="center"/>
        </w:trPr>
        <w:tc>
          <w:tcPr>
            <w:tcW w:w="1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Temperatura</w:t>
            </w:r>
            <w:proofErr w:type="spellEnd"/>
          </w:p>
          <w:p w:rsidR="007D34DC" w:rsidRPr="007D34DC" w:rsidRDefault="007D34DC" w:rsidP="0048457E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°C</w:t>
            </w:r>
          </w:p>
        </w:tc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</w:t>
            </w:r>
            <w:r w:rsidRPr="007D34DC">
              <w:rPr>
                <w:rFonts w:ascii="Times New Roman" w:hAnsi="Times New Roman" w:cs="Times New Roman"/>
                <w:sz w:val="24"/>
                <w:szCs w:val="24"/>
              </w:rPr>
              <w:t>śnienie</w:t>
            </w:r>
          </w:p>
          <w:p w:rsidR="007D34DC" w:rsidRPr="007D34DC" w:rsidRDefault="007D34DC" w:rsidP="0048457E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N/m</w:t>
            </w:r>
            <w:r w:rsidRPr="007D34D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</w:t>
            </w:r>
            <w:r w:rsidRPr="007D34DC">
              <w:rPr>
                <w:rFonts w:ascii="Times New Roman" w:hAnsi="Times New Roman" w:cs="Times New Roman"/>
                <w:sz w:val="24"/>
                <w:szCs w:val="24"/>
              </w:rPr>
              <w:t>ętość</w:t>
            </w:r>
            <w:proofErr w:type="spellEnd"/>
            <w:r w:rsidRPr="007D34DC">
              <w:rPr>
                <w:rFonts w:ascii="Times New Roman" w:hAnsi="Times New Roman" w:cs="Times New Roman"/>
                <w:sz w:val="24"/>
                <w:szCs w:val="24"/>
              </w:rPr>
              <w:t xml:space="preserve"> właściwa m</w:t>
            </w:r>
            <w:r w:rsidRPr="007D34D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D34DC">
              <w:rPr>
                <w:rFonts w:ascii="Times New Roman" w:hAnsi="Times New Roman" w:cs="Times New Roman"/>
                <w:sz w:val="24"/>
                <w:szCs w:val="24"/>
              </w:rPr>
              <w:t>/kg</w:t>
            </w:r>
          </w:p>
        </w:tc>
        <w:tc>
          <w:tcPr>
            <w:tcW w:w="1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proofErr w:type="spellStart"/>
            <w:r w:rsidRPr="007D34DC">
              <w:rPr>
                <w:rFonts w:ascii="Times New Roman" w:hAnsi="Times New Roman" w:cs="Times New Roman"/>
                <w:sz w:val="24"/>
                <w:szCs w:val="24"/>
              </w:rPr>
              <w:t>ęstość</w:t>
            </w:r>
            <w:proofErr w:type="spellEnd"/>
            <w:r w:rsidRPr="007D34DC">
              <w:rPr>
                <w:rFonts w:ascii="Times New Roman" w:hAnsi="Times New Roman" w:cs="Times New Roman"/>
                <w:sz w:val="24"/>
                <w:szCs w:val="24"/>
              </w:rPr>
              <w:t xml:space="preserve"> pary</w:t>
            </w:r>
          </w:p>
          <w:p w:rsidR="007D34DC" w:rsidRPr="007D34DC" w:rsidRDefault="007D34DC" w:rsidP="0048457E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kg/m</w:t>
            </w:r>
            <w:r w:rsidRPr="007D34D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5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Entalpia</w:t>
            </w:r>
            <w:proofErr w:type="spellEnd"/>
          </w:p>
          <w:p w:rsidR="007D34DC" w:rsidRPr="007D34DC" w:rsidRDefault="007D34DC" w:rsidP="0048457E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kJ/kg</w:t>
            </w:r>
          </w:p>
        </w:tc>
        <w:tc>
          <w:tcPr>
            <w:tcW w:w="1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Ciep</w:t>
            </w:r>
            <w:r w:rsidRPr="007D34DC">
              <w:rPr>
                <w:rFonts w:ascii="Times New Roman" w:hAnsi="Times New Roman" w:cs="Times New Roman"/>
                <w:sz w:val="24"/>
                <w:szCs w:val="24"/>
              </w:rPr>
              <w:t>ło</w:t>
            </w:r>
            <w:proofErr w:type="spellEnd"/>
            <w:r w:rsidRPr="007D34DC">
              <w:rPr>
                <w:rFonts w:ascii="Times New Roman" w:hAnsi="Times New Roman" w:cs="Times New Roman"/>
                <w:sz w:val="24"/>
                <w:szCs w:val="24"/>
              </w:rPr>
              <w:t xml:space="preserve"> parowania</w:t>
            </w:r>
          </w:p>
          <w:p w:rsidR="007D34DC" w:rsidRPr="007D34DC" w:rsidRDefault="007D34DC" w:rsidP="0048457E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kJ/kg</w:t>
            </w:r>
          </w:p>
        </w:tc>
      </w:tr>
      <w:tr w:rsidR="007D34DC" w:rsidRPr="007D34DC" w:rsidTr="0048457E">
        <w:trPr>
          <w:trHeight w:val="517"/>
          <w:jc w:val="center"/>
        </w:trPr>
        <w:tc>
          <w:tcPr>
            <w:tcW w:w="1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34D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Wody</w:t>
            </w:r>
            <w:proofErr w:type="spellEnd"/>
            <w:r w:rsidRPr="007D34D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34D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pary</w:t>
            </w:r>
            <w:proofErr w:type="spellEnd"/>
          </w:p>
        </w:tc>
        <w:tc>
          <w:tcPr>
            <w:tcW w:w="1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34D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wody</w:t>
            </w:r>
            <w:proofErr w:type="spellEnd"/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pary</w:t>
            </w:r>
            <w:proofErr w:type="spellEnd"/>
          </w:p>
        </w:tc>
        <w:tc>
          <w:tcPr>
            <w:tcW w:w="1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610,758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0,0010002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206,3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0,004847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2500,8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2500,8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656,555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0,0010001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192,6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0,005192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4,23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2502,5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2498,3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705,392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0,0010001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172,9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0,005559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8,42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2504,5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2496,2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757,465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0,0010001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168,2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0,005945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12,65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2506,2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2493,7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812,873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0,0010001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157,3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0,006357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16,83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2508,3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2491,6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871,909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0,0010001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147,2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0,006793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21,06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2510,0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2489,1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934,769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0,0010001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137,8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0,007257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25,25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2511,7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2486,5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1001,258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0,0010001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129,1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0,007746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29,43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2513,8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2484,4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1072,06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0,0010002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121,0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0,008264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33,66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2515,4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2481,9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1147,28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0,0010003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113,4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0,008818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37,85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2517,5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2479,8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1227,11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0,0010004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106,42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0,009398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42,04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2519,2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2477,3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1311,74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0,0010005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99,91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0,01001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46,22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2521,3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2475,2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1401,57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0,0010006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93,84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0,01066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50,24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2523,0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2472,7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1496,69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0,0010007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88,18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0,01134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54,60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2525,1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2470,6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1597,41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0,0010008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82,90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0,01206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58,78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2526,7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2468,1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1704,10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0,0010010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77,97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0,01282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62,97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2528,4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2465,6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1816,98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0,0010011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73,39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0,01363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67,16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2530,1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2463,1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1936,42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0,0010013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69,10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0,01447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71,34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2531,8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2460,6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18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2062,34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0,0010015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65,09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0,01536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75,53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2533,4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2458,1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2195,71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0,0010016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61,34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0,01630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79,72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2535,5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2456,0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2336,92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0,0010018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57,84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0,01729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83,90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2537,2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2453,5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2485,99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0,0010021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54,56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0,01833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88,09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2538,9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2451,0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2642,89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0,0010023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51,50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0,01942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92,28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2541,0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2448,9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2807,64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0,0010025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48,62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0,02057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96,46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2542,6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2446,3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2982,20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0,0010028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45,93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0,02177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100,61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2544,7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2444,3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3166,57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0,0010030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43,40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0,02304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104,80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2546,4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2441,7</w:t>
            </w:r>
          </w:p>
        </w:tc>
      </w:tr>
    </w:tbl>
    <w:p w:rsidR="007D34DC" w:rsidRPr="007D34DC" w:rsidRDefault="007D34DC" w:rsidP="007D34DC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D34DC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2"/>
        <w:gridCol w:w="928"/>
        <w:gridCol w:w="1368"/>
        <w:gridCol w:w="1017"/>
        <w:gridCol w:w="1252"/>
        <w:gridCol w:w="767"/>
        <w:gridCol w:w="753"/>
        <w:gridCol w:w="1683"/>
      </w:tblGrid>
      <w:tr w:rsidR="007D34DC" w:rsidRPr="007D34DC" w:rsidTr="0048457E">
        <w:trPr>
          <w:trHeight w:val="1"/>
          <w:jc w:val="center"/>
        </w:trPr>
        <w:tc>
          <w:tcPr>
            <w:tcW w:w="1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Temperatura</w:t>
            </w:r>
            <w:proofErr w:type="spellEnd"/>
          </w:p>
          <w:p w:rsidR="007D34DC" w:rsidRPr="007D34DC" w:rsidRDefault="007D34DC" w:rsidP="0048457E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°C</w:t>
            </w:r>
          </w:p>
        </w:tc>
        <w:tc>
          <w:tcPr>
            <w:tcW w:w="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</w:t>
            </w:r>
            <w:r w:rsidRPr="007D34DC">
              <w:rPr>
                <w:rFonts w:ascii="Times New Roman" w:hAnsi="Times New Roman" w:cs="Times New Roman"/>
                <w:sz w:val="24"/>
                <w:szCs w:val="24"/>
              </w:rPr>
              <w:t>śnienie</w:t>
            </w:r>
          </w:p>
          <w:p w:rsidR="007D34DC" w:rsidRPr="007D34DC" w:rsidRDefault="007D34DC" w:rsidP="0048457E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N/m</w:t>
            </w:r>
            <w:r w:rsidRPr="007D34D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2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</w:t>
            </w:r>
            <w:r w:rsidRPr="007D34DC">
              <w:rPr>
                <w:rFonts w:ascii="Times New Roman" w:hAnsi="Times New Roman" w:cs="Times New Roman"/>
                <w:sz w:val="24"/>
                <w:szCs w:val="24"/>
              </w:rPr>
              <w:t>ętość</w:t>
            </w:r>
            <w:proofErr w:type="spellEnd"/>
            <w:r w:rsidRPr="007D34DC">
              <w:rPr>
                <w:rFonts w:ascii="Times New Roman" w:hAnsi="Times New Roman" w:cs="Times New Roman"/>
                <w:sz w:val="24"/>
                <w:szCs w:val="24"/>
              </w:rPr>
              <w:t xml:space="preserve"> właściwa m</w:t>
            </w:r>
            <w:r w:rsidRPr="007D34D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D34DC">
              <w:rPr>
                <w:rFonts w:ascii="Times New Roman" w:hAnsi="Times New Roman" w:cs="Times New Roman"/>
                <w:sz w:val="24"/>
                <w:szCs w:val="24"/>
              </w:rPr>
              <w:t>/kg</w:t>
            </w:r>
          </w:p>
        </w:tc>
        <w:tc>
          <w:tcPr>
            <w:tcW w:w="1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proofErr w:type="spellStart"/>
            <w:r w:rsidRPr="007D34DC">
              <w:rPr>
                <w:rFonts w:ascii="Times New Roman" w:hAnsi="Times New Roman" w:cs="Times New Roman"/>
                <w:sz w:val="24"/>
                <w:szCs w:val="24"/>
              </w:rPr>
              <w:t>ęstość</w:t>
            </w:r>
            <w:proofErr w:type="spellEnd"/>
            <w:r w:rsidRPr="007D34DC">
              <w:rPr>
                <w:rFonts w:ascii="Times New Roman" w:hAnsi="Times New Roman" w:cs="Times New Roman"/>
                <w:sz w:val="24"/>
                <w:szCs w:val="24"/>
              </w:rPr>
              <w:t xml:space="preserve"> pary</w:t>
            </w:r>
          </w:p>
          <w:p w:rsidR="007D34DC" w:rsidRPr="007D34DC" w:rsidRDefault="007D34DC" w:rsidP="0048457E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kg/m</w:t>
            </w:r>
            <w:r w:rsidRPr="007D34D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5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Entalpia</w:t>
            </w:r>
            <w:proofErr w:type="spellEnd"/>
          </w:p>
          <w:p w:rsidR="007D34DC" w:rsidRPr="007D34DC" w:rsidRDefault="007D34DC" w:rsidP="0048457E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kJ/kg</w:t>
            </w:r>
          </w:p>
        </w:tc>
        <w:tc>
          <w:tcPr>
            <w:tcW w:w="1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Ciep</w:t>
            </w:r>
            <w:r w:rsidRPr="007D34DC">
              <w:rPr>
                <w:rFonts w:ascii="Times New Roman" w:hAnsi="Times New Roman" w:cs="Times New Roman"/>
                <w:sz w:val="24"/>
                <w:szCs w:val="24"/>
              </w:rPr>
              <w:t>ło</w:t>
            </w:r>
            <w:proofErr w:type="spellEnd"/>
            <w:r w:rsidRPr="007D34DC">
              <w:rPr>
                <w:rFonts w:ascii="Times New Roman" w:hAnsi="Times New Roman" w:cs="Times New Roman"/>
                <w:sz w:val="24"/>
                <w:szCs w:val="24"/>
              </w:rPr>
              <w:t xml:space="preserve"> parowania</w:t>
            </w:r>
            <w:r w:rsidRPr="007D34D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kJ/kg</w:t>
            </w:r>
          </w:p>
        </w:tc>
      </w:tr>
      <w:tr w:rsidR="007D34DC" w:rsidRPr="007D34DC" w:rsidTr="0048457E">
        <w:trPr>
          <w:trHeight w:val="517"/>
          <w:jc w:val="center"/>
        </w:trPr>
        <w:tc>
          <w:tcPr>
            <w:tcW w:w="1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34D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wody</w:t>
            </w:r>
            <w:proofErr w:type="spellEnd"/>
            <w:r w:rsidRPr="007D34D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34D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pary</w:t>
            </w:r>
            <w:proofErr w:type="spellEnd"/>
          </w:p>
        </w:tc>
        <w:tc>
          <w:tcPr>
            <w:tcW w:w="1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34D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wody</w:t>
            </w:r>
            <w:proofErr w:type="spellEnd"/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pary</w:t>
            </w:r>
            <w:proofErr w:type="spellEnd"/>
          </w:p>
        </w:tc>
        <w:tc>
          <w:tcPr>
            <w:tcW w:w="16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3166,57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0,0010030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43,40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0,02304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104,80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2546,4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2441,7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3359,76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0,0010033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41,04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0,02437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108,98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2548,1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2439,2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3563,74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0,0010036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38,82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0,02576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113,17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2550,2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2437,1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3778,50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0,0010038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36,73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0,02723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117,36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2551,8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2434,6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4004,06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0,0010041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34,77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0,02876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121,50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2553,9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2432,5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4241,38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0,0010044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32,93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0,03037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125,69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2555,6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2430,0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4491,45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0,0010047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31,20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0.03205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129,87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2557,7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2427,9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4753,28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0,0010051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29,57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0,03382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134,06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2559,4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2425,4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5028,85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0,0010054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28,04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0,03566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138,25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2561,1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2422,9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5318,15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0,0010057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26,60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0,03759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142,43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2563,2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2420,8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5622,15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0,0010061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25,24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0,03962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146,58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2564,8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2418,3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5939,89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0,0010064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23,97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0,04172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150,77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2566,5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2415,8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6274,29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0,0010068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22,77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0,04392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154,95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2568,6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2413,7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6624,39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0,0010071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21,63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0,04623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159,14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2570,3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2411,2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6991,16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0,0010075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20,56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0,04864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163,33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2572,0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2408,7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7374,60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0,0010079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19,55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0,05115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167,51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2573,6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2406,2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7777,65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0,0010083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18,59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0,05379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171,66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2575,3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2403,6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8198,36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0,0010087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17,69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0,05653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175,85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2577,0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2401,1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8638,68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0,0010091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16,84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0,05938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180,03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2578,7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2398,6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9099,59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0,0010095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16,04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0,06234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184,22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2580,7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2396,5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9582,08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0,0010099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15,28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0,06544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188,41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2582,4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2394,0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10085,16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0,0010103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14,56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0,06868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192,59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2584,5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2591,9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10611,78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0,0010108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13,88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0,07205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196,78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2586,2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2389,4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11161,93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0,0010112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13,23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0,07559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200,92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2587,9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2388,69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11735,62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0,0010116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12,62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0,07924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205,11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2590,0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2384,8</w:t>
            </w:r>
          </w:p>
        </w:tc>
      </w:tr>
      <w:tr w:rsidR="007D34DC" w:rsidRPr="007D34DC" w:rsidTr="0048457E">
        <w:trPr>
          <w:trHeight w:val="1"/>
          <w:jc w:val="center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12334,80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0,0010121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12,04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0,08306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209,30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2591,6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D34DC" w:rsidRPr="007D34DC" w:rsidRDefault="007D34DC" w:rsidP="004845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34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2382,3</w:t>
            </w:r>
          </w:p>
        </w:tc>
      </w:tr>
    </w:tbl>
    <w:p w:rsidR="007D34DC" w:rsidRPr="007D34DC" w:rsidRDefault="007D34DC" w:rsidP="007D34DC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D34DC">
        <w:rPr>
          <w:rFonts w:ascii="Times New Roman" w:hAnsi="Times New Roman" w:cs="Times New Roman"/>
          <w:sz w:val="24"/>
          <w:szCs w:val="24"/>
          <w:lang w:val="en-US"/>
        </w:rPr>
        <w:t>Zadanie</w:t>
      </w:r>
      <w:proofErr w:type="spellEnd"/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W zbiorniku o objętości 3 m</w:t>
      </w:r>
      <w:r w:rsidR="006B217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bookmarkStart w:id="0" w:name="_GoBack"/>
      <w:bookmarkEnd w:id="0"/>
      <w:r w:rsidRPr="007D34DC">
        <w:rPr>
          <w:rFonts w:ascii="Times New Roman" w:hAnsi="Times New Roman" w:cs="Times New Roman"/>
          <w:sz w:val="24"/>
          <w:szCs w:val="24"/>
        </w:rPr>
        <w:t xml:space="preserve"> znajduje się 60 kg pary nasyconej w temperaturze 50 C. Oblicz stopień suchości pary</w:t>
      </w:r>
    </w:p>
    <w:p w:rsid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Objętość właściwa pary wynosi .</w:t>
      </w:r>
    </w:p>
    <w:p w:rsidR="000C4C81" w:rsidRPr="007D34DC" w:rsidRDefault="006B217C" w:rsidP="000C4C8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=x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''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1-x</m:t>
              </m:r>
            </m:e>
          </m:d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+x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den>
          </m:f>
        </m:oMath>
      </m:oMathPara>
    </w:p>
    <w:p w:rsidR="000C4C81" w:rsidRPr="007D34DC" w:rsidRDefault="000C4C81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D34DC" w:rsidRDefault="007D34D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 xml:space="preserve">Ponieważ </w:t>
      </w:r>
    </w:p>
    <w:p w:rsidR="00DC4003" w:rsidRDefault="006B217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60</m:t>
              </m:r>
            </m:den>
          </m:f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kg</m:t>
              </m:r>
            </m:den>
          </m:f>
        </m:oMath>
      </m:oMathPara>
    </w:p>
    <w:p w:rsidR="00DC4003" w:rsidRPr="007D34DC" w:rsidRDefault="00DC4003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7D34DC" w:rsidRDefault="007D34DC" w:rsidP="007D34DC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lastRenderedPageBreak/>
        <w:t xml:space="preserve">Z tablic [2] określamy wartości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0,0010121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kg</m:t>
            </m:r>
          </m:den>
        </m:f>
      </m:oMath>
      <w:r w:rsidR="00DC4003">
        <w:rPr>
          <w:rFonts w:ascii="Times New Roman" w:eastAsiaTheme="minorEastAsia" w:hAnsi="Times New Roman" w:cs="Times New Roman"/>
          <w:sz w:val="24"/>
          <w:szCs w:val="24"/>
        </w:rPr>
        <w:t>,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12,04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kg</m:t>
            </m:r>
          </m:den>
        </m:f>
      </m:oMath>
    </w:p>
    <w:p w:rsidR="00DC4003" w:rsidRPr="00DC4003" w:rsidRDefault="00DC4003" w:rsidP="00DC4003">
      <w:pPr>
        <w:jc w:val="center"/>
        <w:rPr>
          <w:rFonts w:ascii="Calibri" w:eastAsia="Times New Roman" w:hAnsi="Calibri" w:cs="Times New Roman"/>
          <w:color w:val="000000"/>
          <w:lang w:eastAsia="pl-PL"/>
        </w:rPr>
      </w:pP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''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60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0,0010121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12,04-0,0010121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Pr="00DC4003">
        <w:rPr>
          <w:rFonts w:ascii="Calibri" w:eastAsia="Times New Roman" w:hAnsi="Calibri" w:cs="Times New Roman"/>
          <w:color w:val="000000"/>
          <w:lang w:eastAsia="pl-PL"/>
        </w:rPr>
        <w:t>0,004069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34DC">
        <w:rPr>
          <w:rFonts w:ascii="Times New Roman" w:hAnsi="Times New Roman" w:cs="Times New Roman"/>
          <w:color w:val="000000"/>
          <w:sz w:val="24"/>
          <w:szCs w:val="24"/>
        </w:rPr>
        <w:t>Zadanie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34DC">
        <w:rPr>
          <w:rFonts w:ascii="Times New Roman" w:hAnsi="Times New Roman" w:cs="Times New Roman"/>
          <w:color w:val="000000"/>
          <w:sz w:val="24"/>
          <w:szCs w:val="24"/>
        </w:rPr>
        <w:t>W zbiorniku znajduje się 80kg pary o ciśnieniu 15 bar=1,5MPa. Ciecz zajmuje 5% objętości zbiornika. Oblicz stopień suchości pary oraz objętość zbiornika.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34DC">
        <w:rPr>
          <w:rFonts w:ascii="Times New Roman" w:hAnsi="Times New Roman" w:cs="Times New Roman"/>
          <w:color w:val="000000"/>
          <w:sz w:val="24"/>
          <w:szCs w:val="24"/>
        </w:rPr>
        <w:t>Dane :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34DC">
        <w:rPr>
          <w:rFonts w:ascii="Times New Roman" w:hAnsi="Times New Roman" w:cs="Times New Roman"/>
          <w:color w:val="000000"/>
          <w:sz w:val="24"/>
          <w:szCs w:val="24"/>
        </w:rPr>
        <w:t>m= 80 kg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34DC">
        <w:rPr>
          <w:rFonts w:ascii="Times New Roman" w:hAnsi="Times New Roman" w:cs="Times New Roman"/>
          <w:color w:val="000000"/>
          <w:sz w:val="24"/>
          <w:szCs w:val="24"/>
        </w:rPr>
        <w:t xml:space="preserve">p=1,5 </w:t>
      </w:r>
      <w:proofErr w:type="spellStart"/>
      <w:r w:rsidRPr="007D34DC">
        <w:rPr>
          <w:rFonts w:ascii="Times New Roman" w:hAnsi="Times New Roman" w:cs="Times New Roman"/>
          <w:color w:val="000000"/>
          <w:sz w:val="24"/>
          <w:szCs w:val="24"/>
        </w:rPr>
        <w:t>MPa</w:t>
      </w:r>
      <w:proofErr w:type="spellEnd"/>
      <w:r w:rsidR="00512EC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1,5 MPa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=0,0011538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kg</m:t>
            </m:r>
          </m:den>
        </m:f>
      </m:oMath>
      <w:r w:rsidR="00512EC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1,5 MPa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=0,13165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kg</m:t>
            </m:r>
          </m:den>
        </m:f>
      </m:oMath>
      <w:r w:rsidR="00512ECF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34DC">
        <w:rPr>
          <w:rFonts w:ascii="Times New Roman" w:hAnsi="Times New Roman" w:cs="Times New Roman"/>
          <w:color w:val="000000"/>
          <w:sz w:val="24"/>
          <w:szCs w:val="24"/>
        </w:rPr>
        <w:t>5%V= m</w:t>
      </w:r>
      <w:r w:rsidR="00512ECF"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Pr="007D34DC">
        <w:rPr>
          <w:rFonts w:ascii="Times New Roman" w:hAnsi="Times New Roman" w:cs="Times New Roman"/>
          <w:color w:val="000000"/>
          <w:sz w:val="24"/>
          <w:szCs w:val="24"/>
        </w:rPr>
        <w:t>(1-x)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.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 xml:space="preserve">Dwa równania zawierające dwie niewiadome to: 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Ciecz , która zajmuje 0,05*V=</w:t>
      </w:r>
      <w:r w:rsidR="00512ECF">
        <w:rPr>
          <w:rFonts w:ascii="Times New Roman" w:hAnsi="Times New Roman" w:cs="Times New Roman"/>
          <w:sz w:val="24"/>
          <w:szCs w:val="24"/>
        </w:rPr>
        <w:t xml:space="preserve"> m</w:t>
      </w:r>
      <w:r w:rsidR="00512ECF"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Pr="007D34DC">
        <w:rPr>
          <w:rFonts w:ascii="Times New Roman" w:hAnsi="Times New Roman" w:cs="Times New Roman"/>
          <w:color w:val="000000"/>
          <w:sz w:val="24"/>
          <w:szCs w:val="24"/>
        </w:rPr>
        <w:t>(1-x)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Oraz objętość zbiornika V=</w:t>
      </w:r>
      <w:r w:rsidR="00512ECF">
        <w:rPr>
          <w:rFonts w:ascii="Times New Roman" w:hAnsi="Times New Roman" w:cs="Times New Roman"/>
          <w:sz w:val="24"/>
          <w:szCs w:val="24"/>
        </w:rPr>
        <w:t>m*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512ECF">
        <w:rPr>
          <w:rFonts w:ascii="Times New Roman" w:eastAsiaTheme="minorEastAsia" w:hAnsi="Times New Roman" w:cs="Times New Roman"/>
          <w:sz w:val="24"/>
          <w:szCs w:val="24"/>
        </w:rPr>
        <w:t>m*(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+x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''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'</m:t>
                </m:r>
              </m:sup>
            </m:sSup>
          </m:e>
        </m:d>
      </m:oMath>
      <w:r w:rsidR="00512ECF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Czyli:        (1)          0,05*V=</w:t>
      </w:r>
      <w:r w:rsidRPr="007D34DC">
        <w:rPr>
          <w:rFonts w:ascii="Times New Roman" w:hAnsi="Times New Roman" w:cs="Times New Roman"/>
          <w:color w:val="000000"/>
          <w:sz w:val="24"/>
          <w:szCs w:val="24"/>
        </w:rPr>
        <w:t xml:space="preserve"> 80*(1-x)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  <w:r w:rsidRPr="007D34D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 xml:space="preserve">  oraz:      (2)          V= 80*</w:t>
      </w:r>
      <m:oMath>
        <m:r>
          <w:rPr>
            <w:rFonts w:ascii="Cambria Math" w:hAnsi="Cambria Math" w:cs="Times New Roman"/>
            <w:sz w:val="24"/>
            <w:szCs w:val="24"/>
          </w:rPr>
          <m:t>(0,0011538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   </m:t>
        </m:r>
        <m:r>
          <w:rPr>
            <w:rFonts w:ascii="Cambria Math" w:hAnsi="Cambria Math" w:cs="Times New Roman"/>
            <w:sz w:val="24"/>
            <w:szCs w:val="24"/>
          </w:rPr>
          <m:t>+x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0,13165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-0,0011538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   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)</m:t>
        </m:r>
      </m:oMath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 xml:space="preserve">Proszę </w:t>
      </w:r>
      <w:r w:rsidR="00E6631D">
        <w:rPr>
          <w:rFonts w:ascii="Times New Roman" w:hAnsi="Times New Roman" w:cs="Times New Roman"/>
          <w:sz w:val="24"/>
          <w:szCs w:val="24"/>
        </w:rPr>
        <w:t>dokończyć zadanie , rozwiązując układ równań (1),(2).</w:t>
      </w:r>
    </w:p>
    <w:p w:rsidR="00806B6F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Na rysunkach Rys.</w:t>
      </w:r>
      <w:r w:rsidR="00806B6F" w:rsidRPr="007D34DC">
        <w:rPr>
          <w:rFonts w:ascii="Times New Roman" w:hAnsi="Times New Roman" w:cs="Times New Roman"/>
          <w:sz w:val="24"/>
          <w:szCs w:val="24"/>
        </w:rPr>
        <w:t xml:space="preserve"> </w:t>
      </w:r>
      <w:r w:rsidRPr="007D34DC">
        <w:rPr>
          <w:rFonts w:ascii="Times New Roman" w:hAnsi="Times New Roman" w:cs="Times New Roman"/>
          <w:sz w:val="24"/>
          <w:szCs w:val="24"/>
        </w:rPr>
        <w:t>4,5 przedstawiono przemiany pary wodnej w zakresie zarówno pary nasyconej mokrej,  w zakresie współistnienia dwóch faz, oraz w zakresie pary przegrzanej</w:t>
      </w:r>
      <w:r w:rsidR="00806B6F">
        <w:rPr>
          <w:rFonts w:ascii="Times New Roman" w:hAnsi="Times New Roman" w:cs="Times New Roman"/>
          <w:sz w:val="24"/>
          <w:szCs w:val="24"/>
        </w:rPr>
        <w:t xml:space="preserve"> w różnych układach współrzędnych, </w:t>
      </w:r>
      <w:proofErr w:type="spellStart"/>
      <w:r w:rsidR="00806B6F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="00806B6F">
        <w:rPr>
          <w:rFonts w:ascii="Times New Roman" w:hAnsi="Times New Roman" w:cs="Times New Roman"/>
          <w:sz w:val="24"/>
          <w:szCs w:val="24"/>
        </w:rPr>
        <w:t xml:space="preserve">  w układzie T-s oraz s-i</w:t>
      </w:r>
      <w:r w:rsidRPr="007D34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6B6F" w:rsidRDefault="00806B6F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Uwaga!</w:t>
      </w:r>
    </w:p>
    <w:p w:rsid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b/>
          <w:bCs/>
          <w:sz w:val="24"/>
          <w:szCs w:val="24"/>
        </w:rPr>
        <w:t>Para przegrana spełnia równanie Clapeyrona i może być traktowana jak gaz doskonały o trójatomowej cząsteczce.</w:t>
      </w:r>
      <w:r w:rsidRPr="007D34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B6F" w:rsidRPr="007D34DC" w:rsidRDefault="00806B6F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Wykres T-s jest bardzo przydatny do określania ciepła , które można „zauważyć” jako pola pod odpowiednimi przemianami. Jest to wykorzystywane np. do łatwego obliczania sprawności obiegów, z uwagi na bardzo łatwe rozróżnienie ciepła dodatniego(dostarczanego) powodującego wzrost entropii oraz ciepła </w:t>
      </w:r>
      <w:r w:rsidR="009E034D">
        <w:rPr>
          <w:rFonts w:ascii="Times New Roman" w:hAnsi="Times New Roman" w:cs="Times New Roman"/>
          <w:sz w:val="24"/>
          <w:szCs w:val="24"/>
        </w:rPr>
        <w:t>ujemnego (oddawanego)</w:t>
      </w:r>
      <w:r>
        <w:rPr>
          <w:rFonts w:ascii="Times New Roman" w:hAnsi="Times New Roman" w:cs="Times New Roman"/>
          <w:sz w:val="24"/>
          <w:szCs w:val="24"/>
        </w:rPr>
        <w:t xml:space="preserve">, powodującego zmniejszanie się entropii. </w:t>
      </w:r>
    </w:p>
    <w:p w:rsidR="007D34DC" w:rsidRPr="007D34DC" w:rsidRDefault="007D34D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D34D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B25821A" wp14:editId="08FCCF2E">
            <wp:extent cx="4010025" cy="44196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DC" w:rsidRPr="007D34DC" w:rsidRDefault="007D34DC" w:rsidP="007D34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34DC" w:rsidRPr="007D34DC" w:rsidRDefault="007D34D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Rys.4[4]</w:t>
      </w:r>
    </w:p>
    <w:p w:rsidR="007D34DC" w:rsidRPr="007D34DC" w:rsidRDefault="00661411" w:rsidP="007D34D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rysunku </w:t>
      </w:r>
      <w:r w:rsidR="007D34DC" w:rsidRPr="007D34DC">
        <w:rPr>
          <w:rFonts w:ascii="Times New Roman" w:hAnsi="Times New Roman" w:cs="Times New Roman"/>
          <w:sz w:val="24"/>
          <w:szCs w:val="24"/>
        </w:rPr>
        <w:t xml:space="preserve">  Rys.5 poniżej, znajduje się wykres i-s dla wody, który ma niezwykle użyteczny charakter. Użyteczność ta wynika wprost z Pierwszej Zasady Termodynamiki. Pierwsza zasada termodynamiki zapisana dla układów zamkniętych lub o stałym strumieniu masy dla przemiany adiabatycznej doskonałej (izentropy) :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0=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 izent. 1-2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</w:p>
    <w:p w:rsidR="007D34DC" w:rsidRPr="007D34DC" w:rsidRDefault="007D34DC" w:rsidP="007D34D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 xml:space="preserve"> </w:t>
      </w:r>
      <w:r w:rsidRPr="00E249E3">
        <w:rPr>
          <w:rFonts w:ascii="Times New Roman" w:hAnsi="Times New Roman" w:cs="Times New Roman"/>
          <w:sz w:val="24"/>
          <w:szCs w:val="24"/>
        </w:rPr>
        <w:t>i po przekszta</w:t>
      </w:r>
      <w:r w:rsidRPr="007D34DC">
        <w:rPr>
          <w:rFonts w:ascii="Times New Roman" w:hAnsi="Times New Roman" w:cs="Times New Roman"/>
          <w:sz w:val="24"/>
          <w:szCs w:val="24"/>
        </w:rPr>
        <w:t xml:space="preserve">łceniu    </w:t>
      </w:r>
      <w:r w:rsidR="00E6631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D34DC">
        <w:rPr>
          <w:rFonts w:ascii="Times New Roman" w:hAnsi="Times New Roman" w:cs="Times New Roman"/>
          <w:sz w:val="24"/>
          <w:szCs w:val="24"/>
        </w:rPr>
        <w:t xml:space="preserve">  (*)</w:t>
      </w:r>
      <w:r w:rsidR="00E6631D">
        <w:rPr>
          <w:rFonts w:ascii="Times New Roman" w:hAnsi="Times New Roman" w:cs="Times New Roman"/>
          <w:sz w:val="24"/>
          <w:szCs w:val="24"/>
        </w:rPr>
        <w:t xml:space="preserve">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 izent. 1-2</m:t>
            </m:r>
          </m:sub>
        </m:sSub>
      </m:oMath>
    </w:p>
    <w:p w:rsidR="007D34DC" w:rsidRPr="00E249E3" w:rsidRDefault="007D34DC" w:rsidP="00E6631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249E3">
        <w:rPr>
          <w:rFonts w:ascii="Times New Roman" w:hAnsi="Times New Roman" w:cs="Times New Roman"/>
          <w:sz w:val="24"/>
          <w:szCs w:val="24"/>
        </w:rPr>
        <w:t>IZT dla przemiany izobarycznej:</w:t>
      </w:r>
      <w:r w:rsidR="00E6631D">
        <w:rPr>
          <w:rFonts w:ascii="Times New Roman" w:hAnsi="Times New Roman" w:cs="Times New Roman"/>
          <w:sz w:val="24"/>
          <w:szCs w:val="24"/>
        </w:rPr>
        <w:t xml:space="preserve">     (**)   </w:t>
      </w:r>
      <w:r w:rsidRPr="00E249E3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 1-2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</w:p>
    <w:p w:rsidR="007D34DC" w:rsidRPr="007D34DC" w:rsidRDefault="007D34DC" w:rsidP="007D34D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Zarówno w dl</w:t>
      </w:r>
      <w:r w:rsidR="00BD4CD3">
        <w:rPr>
          <w:rFonts w:ascii="Times New Roman" w:hAnsi="Times New Roman" w:cs="Times New Roman"/>
          <w:sz w:val="24"/>
          <w:szCs w:val="24"/>
        </w:rPr>
        <w:t>a jednej jak i drugiej przemian</w:t>
      </w:r>
      <w:r w:rsidRPr="007D34DC">
        <w:rPr>
          <w:rFonts w:ascii="Times New Roman" w:hAnsi="Times New Roman" w:cs="Times New Roman"/>
          <w:sz w:val="24"/>
          <w:szCs w:val="24"/>
        </w:rPr>
        <w:t xml:space="preserve">, </w:t>
      </w:r>
      <w:r w:rsidRPr="007D34DC">
        <w:rPr>
          <w:rFonts w:ascii="Times New Roman" w:hAnsi="Times New Roman" w:cs="Times New Roman"/>
          <w:b/>
          <w:bCs/>
          <w:sz w:val="24"/>
          <w:szCs w:val="24"/>
        </w:rPr>
        <w:t>pionowe odcinki</w:t>
      </w:r>
      <w:r w:rsidRPr="007D34DC">
        <w:rPr>
          <w:rFonts w:ascii="Times New Roman" w:hAnsi="Times New Roman" w:cs="Times New Roman"/>
          <w:sz w:val="24"/>
          <w:szCs w:val="24"/>
        </w:rPr>
        <w:t xml:space="preserve">  dla przemiany izentropowej lub przemiany izobarycznej, wyznaczone jako różnica  entalpii odpowiednio  lub , służą jako ilościowe określenie </w:t>
      </w:r>
      <w:r w:rsidRPr="007D34DC">
        <w:rPr>
          <w:rFonts w:ascii="Times New Roman" w:hAnsi="Times New Roman" w:cs="Times New Roman"/>
          <w:b/>
          <w:bCs/>
          <w:sz w:val="24"/>
          <w:szCs w:val="24"/>
        </w:rPr>
        <w:t>pracy technicznej ( przemiana izentropowa)</w:t>
      </w:r>
      <w:r w:rsidRPr="007D34DC">
        <w:rPr>
          <w:rFonts w:ascii="Times New Roman" w:hAnsi="Times New Roman" w:cs="Times New Roman"/>
          <w:sz w:val="24"/>
          <w:szCs w:val="24"/>
        </w:rPr>
        <w:t xml:space="preserve">  lub </w:t>
      </w:r>
      <w:r w:rsidRPr="007D34DC">
        <w:rPr>
          <w:rFonts w:ascii="Times New Roman" w:hAnsi="Times New Roman" w:cs="Times New Roman"/>
          <w:b/>
          <w:bCs/>
          <w:sz w:val="24"/>
          <w:szCs w:val="24"/>
        </w:rPr>
        <w:t>ciepła przemiany izobarycznej</w:t>
      </w:r>
      <w:r w:rsidRPr="007D34DC">
        <w:rPr>
          <w:rFonts w:ascii="Times New Roman" w:hAnsi="Times New Roman" w:cs="Times New Roman"/>
          <w:sz w:val="24"/>
          <w:szCs w:val="24"/>
        </w:rPr>
        <w:t>. Ma to znaczenie w obliczeniach inżynierskich.</w:t>
      </w:r>
    </w:p>
    <w:p w:rsidR="007D34DC" w:rsidRPr="007D34DC" w:rsidRDefault="007D34D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D34D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5A4BFDF" wp14:editId="7C61B5A2">
            <wp:extent cx="4048125" cy="34480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DC" w:rsidRPr="007D34DC" w:rsidRDefault="007D34DC" w:rsidP="007D34D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Rys.5[4]</w:t>
      </w:r>
    </w:p>
    <w:p w:rsidR="007D34DC" w:rsidRDefault="007D34DC" w:rsidP="000C4C8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D34DC">
        <w:rPr>
          <w:rFonts w:ascii="Times New Roman" w:hAnsi="Times New Roman" w:cs="Times New Roman"/>
          <w:sz w:val="24"/>
          <w:szCs w:val="24"/>
        </w:rPr>
        <w:t>Na rysunku  Rys.6 przedstawiono izobaryczny sposób wytwarzania pary :</w:t>
      </w:r>
    </w:p>
    <w:p w:rsidR="000C4C81" w:rsidRPr="007D34DC" w:rsidRDefault="00295BAF" w:rsidP="00DC40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17044" cy="282078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13" cy="282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DC" w:rsidRDefault="007D34DC" w:rsidP="004D24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E249E3">
        <w:rPr>
          <w:rFonts w:ascii="Times New Roman" w:hAnsi="Times New Roman" w:cs="Times New Roman"/>
          <w:sz w:val="24"/>
          <w:szCs w:val="24"/>
        </w:rPr>
        <w:t xml:space="preserve">Rys.6 </w:t>
      </w:r>
    </w:p>
    <w:p w:rsidR="004D24B0" w:rsidRDefault="004D24B0" w:rsidP="004D24B0">
      <w:pPr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Zgodnie z oznaczeniami na rysunku ciepło </w:t>
      </w:r>
      <w:proofErr w:type="spellStart"/>
      <w:r>
        <w:rPr>
          <w:rFonts w:ascii="Times New Roman" w:hAnsi="Times New Roman" w:cs="Times New Roman"/>
          <w:sz w:val="24"/>
          <w:szCs w:val="24"/>
        </w:rPr>
        <w:t>zawrzenia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; ciepło parowania </w:t>
      </w:r>
      <m:oMath>
        <m:r>
          <w:rPr>
            <w:rFonts w:ascii="Cambria Math" w:hAnsi="Cambria Math" w:cs="Times New Roman"/>
            <w:sz w:val="24"/>
            <w:szCs w:val="24"/>
          </w:rPr>
          <m:t>r=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D853C5" w:rsidRPr="004D24B0" w:rsidRDefault="00D853C5" w:rsidP="004D24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ciepło przegrzania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''</m:t>
            </m:r>
          </m:sup>
        </m:sSup>
      </m:oMath>
    </w:p>
    <w:p w:rsidR="007D34DC" w:rsidRPr="000C4C81" w:rsidRDefault="007D34DC" w:rsidP="007D34DC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4C8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[1] </w:t>
      </w:r>
      <w:hyperlink r:id="rId12" w:history="1">
        <w:r w:rsidRPr="000C4C81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https://pl.wikipedia.org/wiki/Wykres_fazowy</w:t>
        </w:r>
      </w:hyperlink>
    </w:p>
    <w:p w:rsidR="007D34DC" w:rsidRPr="000C4C81" w:rsidRDefault="007D34DC" w:rsidP="007D34DC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4C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[2] </w:t>
      </w:r>
      <w:hyperlink r:id="rId13" w:history="1">
        <w:r w:rsidRPr="000C4C81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http://zylla.wipos.p.lodz.pl/baza/04-01.html</w:t>
        </w:r>
      </w:hyperlink>
    </w:p>
    <w:p w:rsidR="007D34DC" w:rsidRPr="000C4C81" w:rsidRDefault="007D34DC" w:rsidP="007D34DC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4C81">
        <w:rPr>
          <w:rFonts w:ascii="Times New Roman" w:hAnsi="Times New Roman" w:cs="Times New Roman"/>
          <w:color w:val="000000" w:themeColor="text1"/>
          <w:sz w:val="24"/>
          <w:szCs w:val="24"/>
        </w:rPr>
        <w:t>[3]http://www.ztipmc.pk.edu.pl/~terma/images/stories/Teoria_lab/Para_nasycona_i_przegrzana_ZTiPMC.pdf</w:t>
      </w:r>
    </w:p>
    <w:p w:rsidR="007D34DC" w:rsidRPr="000C4C81" w:rsidRDefault="007D34DC" w:rsidP="007D34DC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4C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[4] </w:t>
      </w:r>
      <w:hyperlink r:id="rId14" w:history="1">
        <w:r w:rsidRPr="000C4C81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http://lmal.zut.edu.pl/fileadmin/Wyklady_i_cwiczenia/termodynamika-tr/Tresc_wykladow/08-para_wodna/para%20wodna.pdf</w:t>
        </w:r>
      </w:hyperlink>
    </w:p>
    <w:p w:rsidR="007D34DC" w:rsidRPr="00E249E3" w:rsidRDefault="007D34DC" w:rsidP="007D34D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D34DC" w:rsidRPr="00E249E3" w:rsidRDefault="007D34DC" w:rsidP="007D34D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D34DC" w:rsidRPr="00E249E3" w:rsidRDefault="007D34DC" w:rsidP="007D34DC">
      <w:pPr>
        <w:rPr>
          <w:rFonts w:ascii="Times New Roman" w:hAnsi="Times New Roman" w:cs="Times New Roman"/>
          <w:sz w:val="24"/>
          <w:szCs w:val="24"/>
        </w:rPr>
      </w:pPr>
    </w:p>
    <w:p w:rsidR="009B6B1F" w:rsidRPr="00E249E3" w:rsidRDefault="009B6B1F">
      <w:pPr>
        <w:rPr>
          <w:rFonts w:ascii="Times New Roman" w:hAnsi="Times New Roman" w:cs="Times New Roman"/>
          <w:sz w:val="24"/>
          <w:szCs w:val="24"/>
        </w:rPr>
      </w:pPr>
    </w:p>
    <w:sectPr w:rsidR="009B6B1F" w:rsidRPr="00E249E3" w:rsidSect="0048457E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8E9"/>
    <w:rsid w:val="000C4C81"/>
    <w:rsid w:val="00284E75"/>
    <w:rsid w:val="00295BAF"/>
    <w:rsid w:val="002A04F0"/>
    <w:rsid w:val="002F538C"/>
    <w:rsid w:val="00371A55"/>
    <w:rsid w:val="0048457E"/>
    <w:rsid w:val="004918BC"/>
    <w:rsid w:val="004D24B0"/>
    <w:rsid w:val="00507AED"/>
    <w:rsid w:val="00512ECF"/>
    <w:rsid w:val="00661411"/>
    <w:rsid w:val="00661C6B"/>
    <w:rsid w:val="006B217C"/>
    <w:rsid w:val="007B4B95"/>
    <w:rsid w:val="007D34DC"/>
    <w:rsid w:val="00806B6F"/>
    <w:rsid w:val="00971DE9"/>
    <w:rsid w:val="009B6B1F"/>
    <w:rsid w:val="009E034D"/>
    <w:rsid w:val="00A62CC7"/>
    <w:rsid w:val="00BD4CD3"/>
    <w:rsid w:val="00C678E9"/>
    <w:rsid w:val="00D853C5"/>
    <w:rsid w:val="00DC4003"/>
    <w:rsid w:val="00DF3126"/>
    <w:rsid w:val="00E249E3"/>
    <w:rsid w:val="00E65554"/>
    <w:rsid w:val="00E6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34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34DC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7D34D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34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34DC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7D34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7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zylla.wipos.p.lodz.pl/baza/04-01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pl.wikipedia.org/wiki/Wykres_fazow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lmal.zut.edu.pl/fileadmin/Wyklady_i_cwiczenia/termodynamika-tr/Tresc_wykladow/08-para_wodna/para%20wodna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DFC2F-1746-4CAA-A1BB-F9960C359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1921</Words>
  <Characters>11531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 Pelińska-Olko</cp:lastModifiedBy>
  <cp:revision>3</cp:revision>
  <cp:lastPrinted>2017-05-17T06:51:00Z</cp:lastPrinted>
  <dcterms:created xsi:type="dcterms:W3CDTF">2017-05-24T06:58:00Z</dcterms:created>
  <dcterms:modified xsi:type="dcterms:W3CDTF">2017-06-05T06:57:00Z</dcterms:modified>
</cp:coreProperties>
</file>